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B7" w:rsidRPr="00EE6BB7" w:rsidRDefault="00EE6BB7" w:rsidP="00EE6BB7">
      <w:pPr>
        <w:spacing w:after="300" w:line="240" w:lineRule="auto"/>
        <w:jc w:val="center"/>
        <w:outlineLvl w:val="1"/>
        <w:rPr>
          <w:rFonts w:ascii="Arial" w:eastAsia="Times New Roman" w:hAnsi="Arial" w:cs="Arial"/>
          <w:b/>
          <w:bCs/>
          <w:color w:val="EA5B0B"/>
          <w:sz w:val="30"/>
          <w:szCs w:val="30"/>
        </w:rPr>
      </w:pPr>
      <w:r>
        <w:rPr>
          <w:rFonts w:ascii="Arial" w:eastAsia="Times New Roman" w:hAnsi="Arial" w:cs="Arial"/>
          <w:b/>
          <w:bCs/>
          <w:color w:val="EA5B0B"/>
          <w:sz w:val="47"/>
          <w:szCs w:val="47"/>
        </w:rPr>
        <w:t>Professional Indemnity Policy for Doctors a</w:t>
      </w:r>
      <w:r w:rsidRPr="00EE6BB7">
        <w:rPr>
          <w:rFonts w:ascii="Arial" w:eastAsia="Times New Roman" w:hAnsi="Arial" w:cs="Arial"/>
          <w:b/>
          <w:bCs/>
          <w:color w:val="EA5B0B"/>
          <w:sz w:val="47"/>
          <w:szCs w:val="47"/>
        </w:rPr>
        <w:t>nd Medical Practitioners</w:t>
      </w:r>
    </w:p>
    <w:p w:rsidR="00EE6BB7" w:rsidRPr="00EE6BB7" w:rsidRDefault="00EE6BB7" w:rsidP="00EE6BB7">
      <w:pPr>
        <w:spacing w:after="0" w:line="240" w:lineRule="auto"/>
        <w:rPr>
          <w:rFonts w:ascii="Arial" w:eastAsia="Times New Roman" w:hAnsi="Arial" w:cs="Arial"/>
          <w:sz w:val="18"/>
          <w:szCs w:val="18"/>
        </w:rPr>
      </w:pPr>
      <w:r w:rsidRPr="00EE6BB7">
        <w:rPr>
          <w:rFonts w:ascii="Arial" w:eastAsia="Times New Roman" w:hAnsi="Arial" w:cs="Arial"/>
          <w:sz w:val="18"/>
          <w:szCs w:val="18"/>
        </w:rPr>
        <w:t xml:space="preserve">. </w:t>
      </w:r>
    </w:p>
    <w:p w:rsidR="00EE6BB7" w:rsidRDefault="00EE6BB7" w:rsidP="00EE6BB7">
      <w:pPr>
        <w:spacing w:after="300" w:line="240" w:lineRule="auto"/>
        <w:outlineLvl w:val="2"/>
        <w:rPr>
          <w:rFonts w:ascii="Arial" w:eastAsia="Times New Roman" w:hAnsi="Arial" w:cs="Arial"/>
          <w:b/>
          <w:bCs/>
          <w:color w:val="EA5B0B"/>
          <w:sz w:val="37"/>
          <w:szCs w:val="37"/>
        </w:rPr>
      </w:pPr>
      <w:r w:rsidRPr="00EE6BB7">
        <w:rPr>
          <w:rFonts w:ascii="Arial" w:eastAsia="Times New Roman" w:hAnsi="Arial" w:cs="Arial"/>
          <w:b/>
          <w:bCs/>
          <w:color w:val="EA5B0B"/>
          <w:sz w:val="37"/>
          <w:szCs w:val="37"/>
        </w:rPr>
        <w:t>Highlights</w:t>
      </w:r>
    </w:p>
    <w:p w:rsidR="00824F62" w:rsidRPr="00824F62" w:rsidRDefault="00824F62" w:rsidP="007C5B30">
      <w:pPr>
        <w:spacing w:after="120" w:line="240" w:lineRule="auto"/>
        <w:outlineLvl w:val="2"/>
        <w:rPr>
          <w:rFonts w:ascii="Arial" w:eastAsia="Times New Roman" w:hAnsi="Arial" w:cs="Arial"/>
          <w:sz w:val="20"/>
        </w:rPr>
      </w:pPr>
      <w:r w:rsidRPr="00824F62">
        <w:rPr>
          <w:rFonts w:ascii="Arial" w:eastAsia="Times New Roman" w:hAnsi="Arial" w:cs="Arial"/>
          <w:sz w:val="20"/>
        </w:rPr>
        <w:t>The policy is meant for professionals to cover liability falling on them as a result of errors and omissions committed by them while rendering professional services.</w:t>
      </w:r>
    </w:p>
    <w:p w:rsidR="00EE6BB7" w:rsidRDefault="00EE6BB7" w:rsidP="007C5B30">
      <w:pPr>
        <w:spacing w:after="120" w:line="240" w:lineRule="auto"/>
        <w:outlineLvl w:val="2"/>
        <w:rPr>
          <w:rFonts w:ascii="Arial" w:eastAsia="Times New Roman" w:hAnsi="Arial" w:cs="Arial"/>
          <w:sz w:val="18"/>
          <w:szCs w:val="18"/>
        </w:rPr>
      </w:pPr>
      <w:r w:rsidRPr="00EE6BB7">
        <w:rPr>
          <w:rFonts w:ascii="Arial" w:eastAsia="Times New Roman" w:hAnsi="Arial" w:cs="Arial"/>
          <w:sz w:val="18"/>
          <w:szCs w:val="18"/>
        </w:rPr>
        <w:br/>
      </w:r>
      <w:r w:rsidRPr="00EE6BB7">
        <w:rPr>
          <w:rFonts w:ascii="Arial" w:eastAsia="Times New Roman" w:hAnsi="Arial" w:cs="Arial"/>
          <w:sz w:val="20"/>
        </w:rPr>
        <w:t>The policy offers a benefit of Retroactive period on continuous renewal of policy whereby claims reported in subsequent renewal but pertaining to earlier period after first inception of the policy, also become payable.</w:t>
      </w:r>
      <w:r w:rsidRPr="00EE6BB7">
        <w:rPr>
          <w:rFonts w:ascii="Arial" w:eastAsia="Times New Roman" w:hAnsi="Arial" w:cs="Arial"/>
          <w:sz w:val="20"/>
        </w:rPr>
        <w:br/>
      </w:r>
      <w:r w:rsidRPr="00EE6BB7">
        <w:rPr>
          <w:rFonts w:ascii="Arial" w:eastAsia="Times New Roman" w:hAnsi="Arial" w:cs="Arial"/>
          <w:sz w:val="20"/>
        </w:rPr>
        <w:br/>
        <w:t>Group policies can also be issued covering members of one profession. Group discount in premium is available depending upon the number of members covered</w:t>
      </w:r>
      <w:r w:rsidRPr="00EE6BB7">
        <w:rPr>
          <w:rFonts w:ascii="Arial" w:eastAsia="Times New Roman" w:hAnsi="Arial" w:cs="Arial"/>
          <w:sz w:val="18"/>
          <w:szCs w:val="18"/>
        </w:rPr>
        <w:t xml:space="preserve">. </w:t>
      </w:r>
    </w:p>
    <w:p w:rsidR="00EE6BB7" w:rsidRPr="00EE6BB7" w:rsidRDefault="00EE6BB7" w:rsidP="00EE6BB7">
      <w:pPr>
        <w:spacing w:after="0" w:line="240" w:lineRule="auto"/>
        <w:rPr>
          <w:rFonts w:ascii="Arial" w:eastAsia="Times New Roman" w:hAnsi="Arial" w:cs="Arial"/>
          <w:sz w:val="18"/>
          <w:szCs w:val="18"/>
        </w:rPr>
      </w:pPr>
    </w:p>
    <w:p w:rsidR="00EE6BB7" w:rsidRPr="00EE6BB7" w:rsidRDefault="00EE6BB7" w:rsidP="00EE6BB7">
      <w:pPr>
        <w:spacing w:after="300" w:line="240" w:lineRule="auto"/>
        <w:outlineLvl w:val="2"/>
        <w:rPr>
          <w:rFonts w:ascii="Arial" w:eastAsia="Times New Roman" w:hAnsi="Arial" w:cs="Arial"/>
          <w:b/>
          <w:bCs/>
          <w:color w:val="EA5B0B"/>
          <w:sz w:val="30"/>
          <w:szCs w:val="30"/>
        </w:rPr>
      </w:pPr>
      <w:r w:rsidRPr="00EE6BB7">
        <w:rPr>
          <w:rFonts w:ascii="Arial" w:eastAsia="Times New Roman" w:hAnsi="Arial" w:cs="Arial"/>
          <w:b/>
          <w:bCs/>
          <w:color w:val="EA5B0B"/>
          <w:sz w:val="37"/>
          <w:szCs w:val="37"/>
        </w:rPr>
        <w:t>Scope</w:t>
      </w:r>
    </w:p>
    <w:p w:rsidR="00EE6BB7" w:rsidRDefault="00EE6BB7" w:rsidP="00EE6BB7">
      <w:pPr>
        <w:spacing w:after="0" w:line="240" w:lineRule="auto"/>
        <w:jc w:val="both"/>
        <w:rPr>
          <w:rFonts w:ascii="Arial" w:eastAsia="Times New Roman" w:hAnsi="Arial" w:cs="Arial"/>
          <w:sz w:val="20"/>
        </w:rPr>
      </w:pPr>
      <w:r w:rsidRPr="00EE6BB7">
        <w:rPr>
          <w:rFonts w:ascii="Arial" w:eastAsia="Times New Roman" w:hAnsi="Arial" w:cs="Arial"/>
          <w:sz w:val="20"/>
        </w:rPr>
        <w:t xml:space="preserve">The policy covers all sums which the insured professional becomes legally liable to pay as damages to third party in respect of any error and/or omission on his/her part committed whilst rendering professional service. Legal cost and expenses incurred in </w:t>
      </w:r>
      <w:proofErr w:type="spellStart"/>
      <w:r w:rsidRPr="00EE6BB7">
        <w:rPr>
          <w:rFonts w:ascii="Arial" w:eastAsia="Times New Roman" w:hAnsi="Arial" w:cs="Arial"/>
          <w:sz w:val="20"/>
        </w:rPr>
        <w:t>defence</w:t>
      </w:r>
      <w:proofErr w:type="spellEnd"/>
      <w:r w:rsidRPr="00EE6BB7">
        <w:rPr>
          <w:rFonts w:ascii="Arial" w:eastAsia="Times New Roman" w:hAnsi="Arial" w:cs="Arial"/>
          <w:sz w:val="20"/>
        </w:rPr>
        <w:t xml:space="preserve"> of the case, with the prior consent of the insurance company, are also payable, subject to the overall limit of indemnity selected.</w:t>
      </w:r>
      <w:r w:rsidRPr="00EE6BB7">
        <w:rPr>
          <w:rFonts w:ascii="Arial" w:eastAsia="Times New Roman" w:hAnsi="Arial" w:cs="Arial"/>
          <w:sz w:val="20"/>
        </w:rPr>
        <w:br/>
        <w:t xml:space="preserve">Only civil liability claims are covered. Any liability arising out of any criminal act or act committed in violation of any law or ordinance is not covered </w:t>
      </w:r>
    </w:p>
    <w:p w:rsidR="00EE6BB7" w:rsidRPr="00EE6BB7" w:rsidRDefault="00EE6BB7" w:rsidP="00EE6BB7">
      <w:pPr>
        <w:spacing w:after="0" w:line="240" w:lineRule="auto"/>
        <w:jc w:val="both"/>
        <w:rPr>
          <w:rFonts w:ascii="Arial" w:eastAsia="Times New Roman" w:hAnsi="Arial" w:cs="Arial"/>
          <w:sz w:val="20"/>
        </w:rPr>
      </w:pPr>
    </w:p>
    <w:p w:rsidR="00EE6BB7" w:rsidRPr="00EE6BB7" w:rsidRDefault="00EE6BB7" w:rsidP="00EE6BB7">
      <w:pPr>
        <w:spacing w:after="300" w:line="240" w:lineRule="auto"/>
        <w:outlineLvl w:val="2"/>
        <w:rPr>
          <w:rFonts w:ascii="Arial" w:eastAsia="Times New Roman" w:hAnsi="Arial" w:cs="Arial"/>
          <w:b/>
          <w:bCs/>
          <w:color w:val="EA5B0B"/>
          <w:sz w:val="30"/>
          <w:szCs w:val="30"/>
        </w:rPr>
      </w:pPr>
      <w:r w:rsidRPr="00EE6BB7">
        <w:rPr>
          <w:rFonts w:ascii="Arial" w:eastAsia="Times New Roman" w:hAnsi="Arial" w:cs="Arial"/>
          <w:b/>
          <w:bCs/>
          <w:color w:val="EA5B0B"/>
          <w:sz w:val="37"/>
          <w:szCs w:val="37"/>
        </w:rPr>
        <w:t>Who can take the policy?</w:t>
      </w:r>
    </w:p>
    <w:p w:rsidR="00EE6BB7" w:rsidRPr="00EE6BB7" w:rsidRDefault="00EE6BB7" w:rsidP="00EE6BB7">
      <w:pPr>
        <w:spacing w:after="0" w:line="240" w:lineRule="auto"/>
        <w:rPr>
          <w:rFonts w:ascii="Arial" w:eastAsia="Times New Roman" w:hAnsi="Arial" w:cs="Arial"/>
          <w:sz w:val="20"/>
        </w:rPr>
      </w:pPr>
      <w:r w:rsidRPr="00EE6BB7">
        <w:rPr>
          <w:rFonts w:ascii="Arial" w:eastAsia="Times New Roman" w:hAnsi="Arial" w:cs="Arial"/>
          <w:sz w:val="20"/>
        </w:rPr>
        <w:t xml:space="preserve">The policy is meant for professionals. We issue 'Professional Indemnity' policies to the following group of professionals:- </w:t>
      </w:r>
    </w:p>
    <w:p w:rsidR="00EE6BB7" w:rsidRPr="00EE6BB7" w:rsidRDefault="00EE6BB7" w:rsidP="00EE6BB7">
      <w:pPr>
        <w:numPr>
          <w:ilvl w:val="0"/>
          <w:numId w:val="1"/>
        </w:numPr>
        <w:spacing w:before="100" w:beforeAutospacing="1" w:after="100" w:afterAutospacing="1" w:line="240" w:lineRule="auto"/>
        <w:rPr>
          <w:rFonts w:ascii="Arial" w:eastAsia="Times New Roman" w:hAnsi="Arial" w:cs="Arial"/>
          <w:sz w:val="20"/>
        </w:rPr>
      </w:pPr>
      <w:r w:rsidRPr="00EE6BB7">
        <w:rPr>
          <w:rFonts w:ascii="Arial" w:eastAsia="Times New Roman" w:hAnsi="Arial" w:cs="Arial"/>
          <w:sz w:val="20"/>
        </w:rPr>
        <w:t xml:space="preserve">Doctors and medical practitioners - </w:t>
      </w:r>
      <w:proofErr w:type="gramStart"/>
      <w:r w:rsidRPr="00EE6BB7">
        <w:rPr>
          <w:rFonts w:ascii="Arial" w:eastAsia="Times New Roman" w:hAnsi="Arial" w:cs="Arial"/>
          <w:sz w:val="20"/>
        </w:rPr>
        <w:t>which</w:t>
      </w:r>
      <w:proofErr w:type="gramEnd"/>
      <w:r w:rsidRPr="00EE6BB7">
        <w:rPr>
          <w:rFonts w:ascii="Arial" w:eastAsia="Times New Roman" w:hAnsi="Arial" w:cs="Arial"/>
          <w:sz w:val="20"/>
        </w:rPr>
        <w:t xml:space="preserve"> covers registered medical practitioners like physicians, surgeons, cardiologists, pathologists etc.</w:t>
      </w:r>
    </w:p>
    <w:p w:rsidR="00EE6BB7" w:rsidRPr="00EE6BB7" w:rsidRDefault="00EE6BB7" w:rsidP="00EE6BB7">
      <w:pPr>
        <w:spacing w:after="300" w:line="240" w:lineRule="auto"/>
        <w:outlineLvl w:val="2"/>
        <w:rPr>
          <w:rFonts w:ascii="Arial" w:eastAsia="Times New Roman" w:hAnsi="Arial" w:cs="Arial"/>
          <w:b/>
          <w:bCs/>
          <w:color w:val="EA5B0B"/>
          <w:sz w:val="30"/>
          <w:szCs w:val="30"/>
        </w:rPr>
      </w:pPr>
      <w:r w:rsidRPr="00EE6BB7">
        <w:rPr>
          <w:rFonts w:ascii="Arial" w:eastAsia="Times New Roman" w:hAnsi="Arial" w:cs="Arial"/>
          <w:b/>
          <w:bCs/>
          <w:color w:val="EA5B0B"/>
          <w:sz w:val="37"/>
          <w:szCs w:val="37"/>
        </w:rPr>
        <w:t>How to select the sum insured</w:t>
      </w:r>
    </w:p>
    <w:p w:rsidR="00EE6BB7" w:rsidRPr="00EE6BB7" w:rsidRDefault="00EE6BB7" w:rsidP="00EE6BB7">
      <w:pPr>
        <w:spacing w:after="0" w:line="240" w:lineRule="auto"/>
        <w:jc w:val="both"/>
        <w:rPr>
          <w:rFonts w:ascii="Arial" w:eastAsia="Times New Roman" w:hAnsi="Arial" w:cs="Arial"/>
          <w:sz w:val="20"/>
        </w:rPr>
      </w:pPr>
      <w:r w:rsidRPr="00EE6BB7">
        <w:rPr>
          <w:rFonts w:ascii="Arial" w:eastAsia="Times New Roman" w:hAnsi="Arial" w:cs="Arial"/>
          <w:sz w:val="20"/>
        </w:rPr>
        <w:t xml:space="preserve">In Professional Indemnity Policy, the sum insured is referred to as Limit of Indemnity. This limit is fixed per accident and per policy period which is called Any One Accident (AOA) limit and Any One Year (AOY) limit respectively. The ratio of AOA limit to AOY limit can be chosen from the following: </w:t>
      </w:r>
    </w:p>
    <w:p w:rsidR="00EE6BB7" w:rsidRPr="00EE6BB7" w:rsidRDefault="00EE6BB7" w:rsidP="00EE6BB7">
      <w:pPr>
        <w:numPr>
          <w:ilvl w:val="0"/>
          <w:numId w:val="2"/>
        </w:numPr>
        <w:spacing w:before="100" w:beforeAutospacing="1" w:after="100" w:afterAutospacing="1" w:line="240" w:lineRule="auto"/>
        <w:jc w:val="both"/>
        <w:rPr>
          <w:rFonts w:ascii="Arial" w:eastAsia="Times New Roman" w:hAnsi="Arial" w:cs="Arial"/>
          <w:sz w:val="20"/>
        </w:rPr>
      </w:pPr>
      <w:r w:rsidRPr="00EE6BB7">
        <w:rPr>
          <w:rFonts w:ascii="Arial" w:eastAsia="Times New Roman" w:hAnsi="Arial" w:cs="Arial"/>
          <w:sz w:val="20"/>
        </w:rPr>
        <w:t>1:1</w:t>
      </w:r>
    </w:p>
    <w:p w:rsidR="00EE6BB7" w:rsidRPr="00EE6BB7" w:rsidRDefault="00EE6BB7" w:rsidP="00EE6BB7">
      <w:pPr>
        <w:numPr>
          <w:ilvl w:val="0"/>
          <w:numId w:val="2"/>
        </w:numPr>
        <w:spacing w:before="100" w:beforeAutospacing="1" w:after="100" w:afterAutospacing="1" w:line="240" w:lineRule="auto"/>
        <w:jc w:val="both"/>
        <w:rPr>
          <w:rFonts w:ascii="Arial" w:eastAsia="Times New Roman" w:hAnsi="Arial" w:cs="Arial"/>
          <w:sz w:val="20"/>
        </w:rPr>
      </w:pPr>
      <w:r w:rsidRPr="00EE6BB7">
        <w:rPr>
          <w:rFonts w:ascii="Arial" w:eastAsia="Times New Roman" w:hAnsi="Arial" w:cs="Arial"/>
          <w:sz w:val="20"/>
        </w:rPr>
        <w:t>1:2</w:t>
      </w:r>
    </w:p>
    <w:p w:rsidR="00EE6BB7" w:rsidRPr="00EE6BB7" w:rsidRDefault="00EE6BB7" w:rsidP="00EE6BB7">
      <w:pPr>
        <w:numPr>
          <w:ilvl w:val="0"/>
          <w:numId w:val="2"/>
        </w:numPr>
        <w:spacing w:before="100" w:beforeAutospacing="1" w:after="100" w:afterAutospacing="1" w:line="240" w:lineRule="auto"/>
        <w:jc w:val="both"/>
        <w:rPr>
          <w:rFonts w:ascii="Arial" w:eastAsia="Times New Roman" w:hAnsi="Arial" w:cs="Arial"/>
          <w:sz w:val="20"/>
        </w:rPr>
      </w:pPr>
      <w:r w:rsidRPr="00EE6BB7">
        <w:rPr>
          <w:rFonts w:ascii="Arial" w:eastAsia="Times New Roman" w:hAnsi="Arial" w:cs="Arial"/>
          <w:sz w:val="20"/>
        </w:rPr>
        <w:t>1:3</w:t>
      </w:r>
    </w:p>
    <w:p w:rsidR="00EE6BB7" w:rsidRPr="00EE6BB7" w:rsidRDefault="00EE6BB7" w:rsidP="00EE6BB7">
      <w:pPr>
        <w:numPr>
          <w:ilvl w:val="0"/>
          <w:numId w:val="2"/>
        </w:numPr>
        <w:spacing w:before="100" w:beforeAutospacing="1" w:after="100" w:afterAutospacing="1" w:line="240" w:lineRule="auto"/>
        <w:jc w:val="both"/>
        <w:rPr>
          <w:rFonts w:ascii="Arial" w:eastAsia="Times New Roman" w:hAnsi="Arial" w:cs="Arial"/>
          <w:sz w:val="20"/>
        </w:rPr>
      </w:pPr>
      <w:r w:rsidRPr="00EE6BB7">
        <w:rPr>
          <w:rFonts w:ascii="Arial" w:eastAsia="Times New Roman" w:hAnsi="Arial" w:cs="Arial"/>
          <w:sz w:val="20"/>
        </w:rPr>
        <w:t>1:4</w:t>
      </w:r>
    </w:p>
    <w:p w:rsidR="00EE6BB7" w:rsidRPr="00EE6BB7" w:rsidRDefault="00EE6BB7" w:rsidP="00EE6BB7">
      <w:pPr>
        <w:spacing w:after="0" w:line="240" w:lineRule="auto"/>
        <w:jc w:val="both"/>
        <w:rPr>
          <w:rFonts w:ascii="Arial" w:eastAsia="Times New Roman" w:hAnsi="Arial" w:cs="Arial"/>
          <w:sz w:val="20"/>
        </w:rPr>
      </w:pPr>
      <w:r w:rsidRPr="00EE6BB7">
        <w:rPr>
          <w:rFonts w:ascii="Arial" w:eastAsia="Times New Roman" w:hAnsi="Arial" w:cs="Arial"/>
          <w:sz w:val="20"/>
        </w:rPr>
        <w:br/>
        <w:t xml:space="preserve">The AOA limit, which is the maximum amount payable for each accident, should be fixed taking into </w:t>
      </w:r>
      <w:r w:rsidRPr="00EE6BB7">
        <w:rPr>
          <w:rFonts w:ascii="Arial" w:eastAsia="Times New Roman" w:hAnsi="Arial" w:cs="Arial"/>
          <w:sz w:val="20"/>
        </w:rPr>
        <w:lastRenderedPageBreak/>
        <w:t>account the nature of activity of the insured and the maximum number of people who could be affected and maximum property damage that could occur, in the worst possible accident.</w:t>
      </w:r>
      <w:r w:rsidRPr="00EE6BB7">
        <w:rPr>
          <w:rFonts w:ascii="Arial" w:eastAsia="Times New Roman" w:hAnsi="Arial" w:cs="Arial"/>
          <w:sz w:val="20"/>
        </w:rPr>
        <w:br/>
      </w:r>
      <w:r w:rsidRPr="00EE6BB7">
        <w:rPr>
          <w:rFonts w:ascii="Arial" w:eastAsia="Times New Roman" w:hAnsi="Arial" w:cs="Arial"/>
          <w:sz w:val="20"/>
        </w:rPr>
        <w:br/>
        <w:t xml:space="preserve"> </w:t>
      </w:r>
    </w:p>
    <w:p w:rsidR="00EE6BB7" w:rsidRPr="00EE6BB7" w:rsidRDefault="00EE6BB7" w:rsidP="00EE6BB7">
      <w:pPr>
        <w:spacing w:after="300" w:line="240" w:lineRule="auto"/>
        <w:outlineLvl w:val="2"/>
        <w:rPr>
          <w:rFonts w:ascii="Arial" w:eastAsia="Times New Roman" w:hAnsi="Arial" w:cs="Arial"/>
          <w:b/>
          <w:bCs/>
          <w:color w:val="EA5B0B"/>
          <w:sz w:val="30"/>
          <w:szCs w:val="30"/>
        </w:rPr>
      </w:pPr>
      <w:r w:rsidRPr="00EE6BB7">
        <w:rPr>
          <w:rFonts w:ascii="Arial" w:eastAsia="Times New Roman" w:hAnsi="Arial" w:cs="Arial"/>
          <w:b/>
          <w:bCs/>
          <w:color w:val="EA5B0B"/>
          <w:sz w:val="37"/>
          <w:szCs w:val="37"/>
        </w:rPr>
        <w:t>How to claim</w:t>
      </w:r>
    </w:p>
    <w:p w:rsidR="00EE6BB7" w:rsidRPr="00EE6BB7" w:rsidRDefault="00EE6BB7" w:rsidP="00EE6BB7">
      <w:pPr>
        <w:spacing w:after="0" w:line="240" w:lineRule="auto"/>
        <w:rPr>
          <w:rFonts w:ascii="Arial" w:eastAsia="Times New Roman" w:hAnsi="Arial" w:cs="Arial"/>
          <w:sz w:val="20"/>
        </w:rPr>
      </w:pPr>
      <w:r w:rsidRPr="00EE6BB7">
        <w:rPr>
          <w:rFonts w:ascii="Arial" w:eastAsia="Times New Roman" w:hAnsi="Arial" w:cs="Arial"/>
          <w:sz w:val="20"/>
        </w:rPr>
        <w:t>The term "liability" means responsibility and "legal liability" means responsibilities which can be enforced by law. Legal Liability may be classified into Criminal Liability and Civil Liability. Only Civil Liability claims are</w:t>
      </w:r>
      <w:r>
        <w:rPr>
          <w:rFonts w:ascii="Arial" w:eastAsia="Times New Roman" w:hAnsi="Arial" w:cs="Arial"/>
          <w:sz w:val="20"/>
        </w:rPr>
        <w:t xml:space="preserve"> </w:t>
      </w:r>
      <w:r w:rsidRPr="00EE6BB7">
        <w:rPr>
          <w:rFonts w:ascii="Arial" w:eastAsia="Times New Roman" w:hAnsi="Arial" w:cs="Arial"/>
          <w:sz w:val="20"/>
        </w:rPr>
        <w:t>payable.</w:t>
      </w:r>
      <w:r w:rsidRPr="00EE6BB7">
        <w:rPr>
          <w:rFonts w:ascii="Arial" w:eastAsia="Times New Roman" w:hAnsi="Arial" w:cs="Arial"/>
          <w:sz w:val="20"/>
        </w:rPr>
        <w:br/>
      </w:r>
      <w:r w:rsidRPr="00EE6BB7">
        <w:rPr>
          <w:rFonts w:ascii="Arial" w:eastAsia="Times New Roman" w:hAnsi="Arial" w:cs="Arial"/>
          <w:sz w:val="20"/>
        </w:rPr>
        <w:br/>
        <w:t>Civil Liability claims will arise if there is prima facie evidence of negligence by the insured resulting in injury or death to any third party or resulting in damage to property belonging to a person other than insured.</w:t>
      </w:r>
      <w:r w:rsidRPr="00EE6BB7">
        <w:rPr>
          <w:rFonts w:ascii="Arial" w:eastAsia="Times New Roman" w:hAnsi="Arial" w:cs="Arial"/>
          <w:sz w:val="20"/>
        </w:rPr>
        <w:br/>
      </w:r>
      <w:r w:rsidRPr="00EE6BB7">
        <w:rPr>
          <w:rFonts w:ascii="Arial" w:eastAsia="Times New Roman" w:hAnsi="Arial" w:cs="Arial"/>
          <w:sz w:val="20"/>
        </w:rPr>
        <w:br/>
        <w:t xml:space="preserve">Negligence will be proved only when following conditions are satisfied: </w:t>
      </w:r>
    </w:p>
    <w:p w:rsidR="00EE6BB7" w:rsidRPr="00EE6BB7" w:rsidRDefault="00EE6BB7" w:rsidP="00EE6BB7">
      <w:pPr>
        <w:numPr>
          <w:ilvl w:val="0"/>
          <w:numId w:val="3"/>
        </w:numPr>
        <w:spacing w:before="100" w:beforeAutospacing="1" w:after="100" w:afterAutospacing="1" w:line="240" w:lineRule="auto"/>
        <w:jc w:val="both"/>
        <w:rPr>
          <w:rFonts w:ascii="Arial" w:eastAsia="Times New Roman" w:hAnsi="Arial" w:cs="Arial"/>
          <w:sz w:val="20"/>
        </w:rPr>
      </w:pPr>
      <w:r w:rsidRPr="00EE6BB7">
        <w:rPr>
          <w:rFonts w:ascii="Arial" w:eastAsia="Times New Roman" w:hAnsi="Arial" w:cs="Arial"/>
          <w:sz w:val="20"/>
        </w:rPr>
        <w:t>Existence of duty of care</w:t>
      </w:r>
    </w:p>
    <w:p w:rsidR="00EE6BB7" w:rsidRPr="00EE6BB7" w:rsidRDefault="00EE6BB7" w:rsidP="00EE6BB7">
      <w:pPr>
        <w:numPr>
          <w:ilvl w:val="0"/>
          <w:numId w:val="3"/>
        </w:numPr>
        <w:spacing w:before="100" w:beforeAutospacing="1" w:after="100" w:afterAutospacing="1" w:line="240" w:lineRule="auto"/>
        <w:jc w:val="both"/>
        <w:rPr>
          <w:rFonts w:ascii="Arial" w:eastAsia="Times New Roman" w:hAnsi="Arial" w:cs="Arial"/>
          <w:sz w:val="20"/>
        </w:rPr>
      </w:pPr>
      <w:r w:rsidRPr="00EE6BB7">
        <w:rPr>
          <w:rFonts w:ascii="Arial" w:eastAsia="Times New Roman" w:hAnsi="Arial" w:cs="Arial"/>
          <w:sz w:val="20"/>
        </w:rPr>
        <w:t>Breach of this duty</w:t>
      </w:r>
    </w:p>
    <w:p w:rsidR="00EE6BB7" w:rsidRPr="00EE6BB7" w:rsidRDefault="00EE6BB7" w:rsidP="00EE6BB7">
      <w:pPr>
        <w:numPr>
          <w:ilvl w:val="0"/>
          <w:numId w:val="3"/>
        </w:numPr>
        <w:spacing w:before="100" w:beforeAutospacing="1" w:after="100" w:afterAutospacing="1" w:line="240" w:lineRule="auto"/>
        <w:jc w:val="both"/>
        <w:rPr>
          <w:rFonts w:ascii="Arial" w:eastAsia="Times New Roman" w:hAnsi="Arial" w:cs="Arial"/>
          <w:sz w:val="20"/>
        </w:rPr>
      </w:pPr>
      <w:r w:rsidRPr="00EE6BB7">
        <w:rPr>
          <w:rFonts w:ascii="Arial" w:eastAsia="Times New Roman" w:hAnsi="Arial" w:cs="Arial"/>
          <w:sz w:val="20"/>
        </w:rPr>
        <w:t>Injury suffered by a person or property damaged as a result of that breach.</w:t>
      </w:r>
    </w:p>
    <w:p w:rsidR="00A22D97" w:rsidRDefault="00EE6BB7" w:rsidP="00EE6BB7">
      <w:pPr>
        <w:jc w:val="both"/>
      </w:pPr>
      <w:r w:rsidRPr="00EE6BB7">
        <w:rPr>
          <w:rFonts w:ascii="Arial" w:eastAsia="Times New Roman" w:hAnsi="Arial" w:cs="Arial"/>
          <w:sz w:val="20"/>
        </w:rPr>
        <w:t xml:space="preserve">In case of any event likely to give rise to a liability claim as described above, insurance company should be informed immediately. In case any legal notice or summon is received, it should be sent to the insurance company. The company has the option of arranging the </w:t>
      </w:r>
      <w:proofErr w:type="spellStart"/>
      <w:r w:rsidRPr="00EE6BB7">
        <w:rPr>
          <w:rFonts w:ascii="Arial" w:eastAsia="Times New Roman" w:hAnsi="Arial" w:cs="Arial"/>
          <w:sz w:val="20"/>
        </w:rPr>
        <w:t>defence</w:t>
      </w:r>
      <w:proofErr w:type="spellEnd"/>
      <w:r w:rsidRPr="00EE6BB7">
        <w:rPr>
          <w:rFonts w:ascii="Arial" w:eastAsia="Times New Roman" w:hAnsi="Arial" w:cs="Arial"/>
          <w:sz w:val="20"/>
        </w:rPr>
        <w:t xml:space="preserve"> of the case.</w:t>
      </w:r>
      <w:r w:rsidRPr="00EE6BB7">
        <w:rPr>
          <w:rFonts w:ascii="Arial" w:eastAsia="Times New Roman" w:hAnsi="Arial" w:cs="Arial"/>
          <w:sz w:val="20"/>
        </w:rPr>
        <w:br/>
      </w:r>
      <w:r w:rsidRPr="00EE6BB7">
        <w:rPr>
          <w:rFonts w:ascii="Arial" w:eastAsia="Times New Roman" w:hAnsi="Arial" w:cs="Arial"/>
          <w:sz w:val="20"/>
        </w:rPr>
        <w:br/>
        <w:t xml:space="preserve">The event giving rise to the claim should have occurred during the period of insurance or retroactive period and the claim first made in writing against the insured during the policy period. The maximum amount payable including </w:t>
      </w:r>
      <w:proofErr w:type="spellStart"/>
      <w:r w:rsidRPr="00EE6BB7">
        <w:rPr>
          <w:rFonts w:ascii="Arial" w:eastAsia="Times New Roman" w:hAnsi="Arial" w:cs="Arial"/>
          <w:sz w:val="20"/>
        </w:rPr>
        <w:t>defence</w:t>
      </w:r>
      <w:proofErr w:type="spellEnd"/>
      <w:r w:rsidRPr="00EE6BB7">
        <w:rPr>
          <w:rFonts w:ascii="Arial" w:eastAsia="Times New Roman" w:hAnsi="Arial" w:cs="Arial"/>
          <w:sz w:val="20"/>
        </w:rPr>
        <w:t xml:space="preserve"> cost will be the AOA limit selected. The Any One Year limit will get reduced by the amount of claim or indemnity paid for any one accident. Any number of such claims made during the policy period will be covered subject to the total indemnity not exceeding the Any One Year limit.</w:t>
      </w:r>
      <w:r w:rsidRPr="00EE6BB7">
        <w:rPr>
          <w:rFonts w:ascii="Arial" w:eastAsia="Times New Roman" w:hAnsi="Arial" w:cs="Arial"/>
          <w:sz w:val="20"/>
        </w:rPr>
        <w:br/>
      </w:r>
      <w:r w:rsidRPr="00EE6BB7">
        <w:rPr>
          <w:rFonts w:ascii="Arial" w:eastAsia="Times New Roman" w:hAnsi="Arial" w:cs="Arial"/>
          <w:sz w:val="20"/>
        </w:rPr>
        <w:br/>
        <w:t>The policy will not pay for claims arising out of contractual liability, intentional non</w:t>
      </w:r>
      <w:r w:rsidRPr="00EE6BB7">
        <w:rPr>
          <w:rFonts w:ascii="Cambria Math" w:eastAsia="Times New Roman" w:hAnsi="Cambria Math" w:cs="Cambria Math"/>
          <w:sz w:val="20"/>
        </w:rPr>
        <w:t>‐</w:t>
      </w:r>
      <w:r w:rsidRPr="00EE6BB7">
        <w:rPr>
          <w:rFonts w:ascii="Arial" w:eastAsia="Times New Roman" w:hAnsi="Arial" w:cs="Arial"/>
          <w:sz w:val="20"/>
        </w:rPr>
        <w:t>compliance of any statutory provision, loss of goodwill, slander, fines, penalties, libel, false arrest, defamation, mental injury etc.</w:t>
      </w:r>
      <w:r w:rsidRPr="00EE6BB7">
        <w:rPr>
          <w:rFonts w:ascii="Arial" w:eastAsia="Times New Roman" w:hAnsi="Arial" w:cs="Arial"/>
          <w:sz w:val="18"/>
          <w:szCs w:val="18"/>
        </w:rPr>
        <w:br/>
      </w:r>
    </w:p>
    <w:sectPr w:rsidR="00A22D97" w:rsidSect="00A22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46C81B9D"/>
    <w:multiLevelType w:val="multilevel"/>
    <w:tmpl w:val="289E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341B9"/>
    <w:multiLevelType w:val="multilevel"/>
    <w:tmpl w:val="1E3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34466"/>
    <w:multiLevelType w:val="multilevel"/>
    <w:tmpl w:val="606C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BB7"/>
    <w:rsid w:val="007C5B30"/>
    <w:rsid w:val="007D49C8"/>
    <w:rsid w:val="00824F62"/>
    <w:rsid w:val="00A22D97"/>
    <w:rsid w:val="00EE6B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97"/>
    <w:rPr>
      <w:rFonts w:cs="Mangal"/>
    </w:rPr>
  </w:style>
  <w:style w:type="paragraph" w:styleId="Heading2">
    <w:name w:val="heading 2"/>
    <w:basedOn w:val="Normal"/>
    <w:link w:val="Heading2Char"/>
    <w:uiPriority w:val="9"/>
    <w:qFormat/>
    <w:rsid w:val="00EE6BB7"/>
    <w:pPr>
      <w:spacing w:after="300" w:line="240" w:lineRule="auto"/>
      <w:outlineLvl w:val="1"/>
    </w:pPr>
    <w:rPr>
      <w:rFonts w:ascii="Times New Roman" w:eastAsia="Times New Roman" w:hAnsi="Times New Roman" w:cs="Times New Roman"/>
      <w:b/>
      <w:bCs/>
      <w:color w:val="EA5B0B"/>
      <w:sz w:val="30"/>
      <w:szCs w:val="30"/>
    </w:rPr>
  </w:style>
  <w:style w:type="paragraph" w:styleId="Heading3">
    <w:name w:val="heading 3"/>
    <w:basedOn w:val="Normal"/>
    <w:link w:val="Heading3Char"/>
    <w:uiPriority w:val="9"/>
    <w:qFormat/>
    <w:rsid w:val="00EE6BB7"/>
    <w:pPr>
      <w:spacing w:after="300" w:line="240" w:lineRule="auto"/>
      <w:outlineLvl w:val="2"/>
    </w:pPr>
    <w:rPr>
      <w:rFonts w:ascii="Times New Roman" w:eastAsia="Times New Roman" w:hAnsi="Times New Roman" w:cs="Times New Roman"/>
      <w:b/>
      <w:bCs/>
      <w:color w:val="EA5B0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BB7"/>
    <w:rPr>
      <w:rFonts w:ascii="Times New Roman" w:eastAsia="Times New Roman" w:hAnsi="Times New Roman" w:cs="Times New Roman"/>
      <w:b/>
      <w:bCs/>
      <w:color w:val="EA5B0B"/>
      <w:sz w:val="30"/>
      <w:szCs w:val="30"/>
    </w:rPr>
  </w:style>
  <w:style w:type="character" w:customStyle="1" w:styleId="Heading3Char">
    <w:name w:val="Heading 3 Char"/>
    <w:basedOn w:val="DefaultParagraphFont"/>
    <w:link w:val="Heading3"/>
    <w:uiPriority w:val="9"/>
    <w:rsid w:val="00EE6BB7"/>
    <w:rPr>
      <w:rFonts w:ascii="Times New Roman" w:eastAsia="Times New Roman" w:hAnsi="Times New Roman" w:cs="Times New Roman"/>
      <w:b/>
      <w:bCs/>
      <w:color w:val="EA5B0B"/>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 Chopra</dc:creator>
  <cp:lastModifiedBy>Rajani Chopra</cp:lastModifiedBy>
  <cp:revision>3</cp:revision>
  <dcterms:created xsi:type="dcterms:W3CDTF">2022-09-23T06:23:00Z</dcterms:created>
  <dcterms:modified xsi:type="dcterms:W3CDTF">2022-09-23T09:04:00Z</dcterms:modified>
</cp:coreProperties>
</file>