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9E217" w14:textId="3D1D3515" w:rsidR="005C410D" w:rsidRDefault="005C410D" w:rsidP="005C410D">
      <w:pPr>
        <w:jc w:val="center"/>
        <w:rPr>
          <w:b/>
          <w:bCs/>
        </w:rPr>
      </w:pPr>
      <w:r w:rsidRPr="00AC41FE">
        <w:rPr>
          <w:rFonts w:ascii="Georgia" w:hAnsi="Georgia"/>
          <w:noProof/>
          <w:lang w:eastAsia="en-IN" w:bidi="ar-SA"/>
        </w:rPr>
        <w:drawing>
          <wp:inline distT="0" distB="0" distL="0" distR="0" wp14:anchorId="1CCED97D" wp14:editId="467A4BD4">
            <wp:extent cx="2211705" cy="875663"/>
            <wp:effectExtent l="0" t="0" r="0" b="1270"/>
            <wp:docPr id="11" name="Picture 2" descr="C:\Users\uiic\Desktop\oriental-insu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iic\Desktop\oriental-insur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511" cy="92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F815F" w14:textId="0E907655" w:rsidR="001C6DC1" w:rsidRPr="005C410D" w:rsidRDefault="005C410D" w:rsidP="005C41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3D6D" w:rsidRPr="005C410D">
        <w:rPr>
          <w:b/>
          <w:bCs/>
          <w:sz w:val="28"/>
          <w:szCs w:val="28"/>
        </w:rPr>
        <w:t>MOVING TOWARDS 100% CASHLESS</w:t>
      </w:r>
    </w:p>
    <w:p w14:paraId="1DA09754" w14:textId="0CEA1EDC" w:rsidR="001C6DC1" w:rsidRDefault="001C6DC1" w:rsidP="00D741E7">
      <w:pPr>
        <w:jc w:val="both"/>
      </w:pPr>
      <w:r>
        <w:t xml:space="preserve">We are glad to inform our customers that in yet another effort to provide better </w:t>
      </w:r>
      <w:r w:rsidR="003A3D6D" w:rsidRPr="005C410D">
        <w:t>services</w:t>
      </w:r>
      <w:r>
        <w:t xml:space="preserve"> under our Health Insurance Policy, we are</w:t>
      </w:r>
      <w:r w:rsidR="003A3D6D">
        <w:t xml:space="preserve"> moving towards 100% cashless</w:t>
      </w:r>
      <w:r>
        <w:t>.</w:t>
      </w:r>
    </w:p>
    <w:p w14:paraId="21F6B300" w14:textId="103DCAE3" w:rsidR="008141F8" w:rsidRDefault="003A3D6D" w:rsidP="00D741E7">
      <w:pPr>
        <w:jc w:val="both"/>
      </w:pPr>
      <w:r>
        <w:t>While hospitals on our network are already offering cashless services, we have devised a roadmap for enabling Non –Network Hospitals to be a part of this Customer centric initiative and improve</w:t>
      </w:r>
      <w:r w:rsidR="001C6DC1">
        <w:t xml:space="preserve"> Cashless </w:t>
      </w:r>
      <w:r>
        <w:t xml:space="preserve">penetration as far as practically possible. </w:t>
      </w:r>
      <w:r w:rsidR="008141F8">
        <w:t xml:space="preserve">To know about details of our Network Hospitals, Please </w:t>
      </w:r>
      <w:proofErr w:type="gramStart"/>
      <w:r w:rsidR="008141F8">
        <w:t xml:space="preserve">visit  </w:t>
      </w:r>
      <w:r w:rsidR="008141F8" w:rsidRPr="0025663D">
        <w:t>https</w:t>
      </w:r>
      <w:proofErr w:type="gramEnd"/>
      <w:r w:rsidR="008141F8" w:rsidRPr="0025663D">
        <w:t>://orientalinsura</w:t>
      </w:r>
      <w:r w:rsidR="008141F8">
        <w:t>nce.org.in/network-hospitals.</w:t>
      </w:r>
    </w:p>
    <w:p w14:paraId="684DAE74" w14:textId="0CCD22EC" w:rsidR="001C6DC1" w:rsidRDefault="001C6DC1" w:rsidP="00D741E7">
      <w:pPr>
        <w:jc w:val="both"/>
      </w:pPr>
      <w:r>
        <w:t xml:space="preserve">Cashless Facility to Hospitals outside the </w:t>
      </w:r>
      <w:r w:rsidR="003A3D6D">
        <w:t>Company’s Network</w:t>
      </w:r>
      <w:r>
        <w:t xml:space="preserve"> is subject to the following </w:t>
      </w:r>
      <w:r w:rsidR="003A3D6D">
        <w:t xml:space="preserve">basic </w:t>
      </w:r>
      <w:r>
        <w:t>conditions:</w:t>
      </w:r>
    </w:p>
    <w:p w14:paraId="64E8F463" w14:textId="2C30540A" w:rsidR="001C6DC1" w:rsidRDefault="001175FF" w:rsidP="00D741E7">
      <w:pPr>
        <w:pStyle w:val="ListParagraph"/>
        <w:numPr>
          <w:ilvl w:val="0"/>
          <w:numId w:val="1"/>
        </w:numPr>
        <w:jc w:val="both"/>
      </w:pPr>
      <w:r>
        <w:t xml:space="preserve">For </w:t>
      </w:r>
      <w:r w:rsidR="003A3D6D">
        <w:t>Planned Admission</w:t>
      </w:r>
      <w:r>
        <w:t>, t</w:t>
      </w:r>
      <w:r w:rsidR="001C6DC1">
        <w:t xml:space="preserve">he </w:t>
      </w:r>
      <w:r w:rsidR="003A3D6D">
        <w:t>TPA/</w:t>
      </w:r>
      <w:r w:rsidR="001C6DC1">
        <w:t xml:space="preserve">Company should receive the </w:t>
      </w:r>
      <w:r w:rsidR="00652663">
        <w:t xml:space="preserve">Intimation </w:t>
      </w:r>
      <w:r w:rsidR="00FB6E9C">
        <w:t xml:space="preserve">about the Planned Admission </w:t>
      </w:r>
      <w:r w:rsidR="003A3D6D">
        <w:t>at least</w:t>
      </w:r>
      <w:r w:rsidR="001C6DC1">
        <w:t xml:space="preserve"> 48 hours prior to the proposed </w:t>
      </w:r>
      <w:r w:rsidR="003A3D6D">
        <w:t>date of</w:t>
      </w:r>
      <w:r w:rsidR="001C6DC1">
        <w:t xml:space="preserve"> admission.  </w:t>
      </w:r>
      <w:r w:rsidR="00F46B1C">
        <w:t>The Intimation should be sent by email to</w:t>
      </w:r>
      <w:r w:rsidR="003A3D6D">
        <w:t xml:space="preserve"> the dedicated email I’d of the servicing TPA/PIO mentioned on the Policy copy.</w:t>
      </w:r>
    </w:p>
    <w:p w14:paraId="48D6CCFC" w14:textId="25E6BE4D" w:rsidR="001175FF" w:rsidRDefault="001175FF" w:rsidP="00D741E7">
      <w:pPr>
        <w:pStyle w:val="ListParagraph"/>
        <w:numPr>
          <w:ilvl w:val="0"/>
          <w:numId w:val="1"/>
        </w:numPr>
        <w:jc w:val="both"/>
      </w:pPr>
      <w:r>
        <w:t>For Emergency Admission, the</w:t>
      </w:r>
      <w:r w:rsidR="003A3D6D">
        <w:t xml:space="preserve"> TPA/</w:t>
      </w:r>
      <w:r>
        <w:t xml:space="preserve"> Company should receive the </w:t>
      </w:r>
      <w:r w:rsidR="00287A80">
        <w:t>R</w:t>
      </w:r>
      <w:r>
        <w:t>equest for Cashless Facility in the Prescribed Form at least within 48 hours after the time of admission.</w:t>
      </w:r>
    </w:p>
    <w:p w14:paraId="72FE3068" w14:textId="7CC7FE01" w:rsidR="001175FF" w:rsidRDefault="001175FF" w:rsidP="00D741E7">
      <w:pPr>
        <w:pStyle w:val="ListParagraph"/>
        <w:numPr>
          <w:ilvl w:val="0"/>
          <w:numId w:val="1"/>
        </w:numPr>
        <w:jc w:val="both"/>
      </w:pPr>
      <w:r>
        <w:t xml:space="preserve">The Hospital where the treatment is to be taken should meet the requirements </w:t>
      </w:r>
      <w:r w:rsidR="003A3D6D">
        <w:t>of the</w:t>
      </w:r>
      <w:r>
        <w:t xml:space="preserve"> Policy and</w:t>
      </w:r>
      <w:r w:rsidR="00287A80">
        <w:t xml:space="preserve"> </w:t>
      </w:r>
      <w:r w:rsidR="00A65D61">
        <w:t xml:space="preserve">the Company’s internal guidelines. </w:t>
      </w:r>
    </w:p>
    <w:p w14:paraId="0C7EA995" w14:textId="745458BD" w:rsidR="001175FF" w:rsidRDefault="00A65D61" w:rsidP="00D741E7">
      <w:pPr>
        <w:pStyle w:val="ListParagraph"/>
        <w:numPr>
          <w:ilvl w:val="0"/>
          <w:numId w:val="1"/>
        </w:numPr>
        <w:jc w:val="both"/>
      </w:pPr>
      <w:r>
        <w:t>Cashless Facility would be available only if the treatment is found admissible under the terms of the Policy.</w:t>
      </w:r>
    </w:p>
    <w:p w14:paraId="5A7D40D9" w14:textId="7C52D072" w:rsidR="00A65D61" w:rsidRDefault="00287A80" w:rsidP="00D741E7">
      <w:pPr>
        <w:pStyle w:val="ListParagraph"/>
        <w:numPr>
          <w:ilvl w:val="0"/>
          <w:numId w:val="1"/>
        </w:numPr>
        <w:jc w:val="both"/>
      </w:pPr>
      <w:r>
        <w:t xml:space="preserve">The Request for Cashless Facility </w:t>
      </w:r>
      <w:r w:rsidR="00E9777A" w:rsidRPr="00B10346">
        <w:rPr>
          <w:b/>
          <w:bCs/>
        </w:rPr>
        <w:t>(</w:t>
      </w:r>
      <w:r w:rsidR="00B10346" w:rsidRPr="00B10346">
        <w:rPr>
          <w:b/>
          <w:bCs/>
        </w:rPr>
        <w:t>Request Form Uploaded as Annexure I</w:t>
      </w:r>
      <w:r w:rsidRPr="00B10346">
        <w:rPr>
          <w:b/>
          <w:bCs/>
        </w:rPr>
        <w:t>)</w:t>
      </w:r>
      <w:r>
        <w:t xml:space="preserve"> should be </w:t>
      </w:r>
      <w:r w:rsidR="00FE23A8">
        <w:t xml:space="preserve">completed and signed by the Insured Person and the Hospital and submitted with all the requisite documents including a copy of the Insured Person’s Identification. </w:t>
      </w:r>
    </w:p>
    <w:p w14:paraId="2DD0EE9E" w14:textId="615A5020" w:rsidR="00FE23A8" w:rsidRDefault="00FE23A8" w:rsidP="00D741E7">
      <w:pPr>
        <w:pStyle w:val="ListParagraph"/>
        <w:numPr>
          <w:ilvl w:val="0"/>
          <w:numId w:val="1"/>
        </w:numPr>
        <w:jc w:val="both"/>
      </w:pPr>
      <w:r>
        <w:t>The Request for Cashless Facility should be sent by email to</w:t>
      </w:r>
      <w:r w:rsidR="003A3D6D" w:rsidRPr="003A3D6D">
        <w:t xml:space="preserve"> </w:t>
      </w:r>
      <w:r w:rsidR="003A3D6D">
        <w:t>dedicated email I’d of the servicing TPA/PIO mentioned on the Policy copy.</w:t>
      </w:r>
    </w:p>
    <w:p w14:paraId="20152E30" w14:textId="3C62CB8B" w:rsidR="00571528" w:rsidRDefault="00571528" w:rsidP="00D741E7">
      <w:pPr>
        <w:pStyle w:val="ListParagraph"/>
        <w:numPr>
          <w:ilvl w:val="0"/>
          <w:numId w:val="1"/>
        </w:numPr>
        <w:jc w:val="both"/>
      </w:pPr>
      <w:r>
        <w:t xml:space="preserve">Company reserves the right to </w:t>
      </w:r>
      <w:r w:rsidR="00B53BD0">
        <w:t>reject</w:t>
      </w:r>
      <w:r w:rsidR="00E94AE4">
        <w:t xml:space="preserve"> the request </w:t>
      </w:r>
      <w:r w:rsidR="005C410D">
        <w:t>for Cashless</w:t>
      </w:r>
      <w:r w:rsidR="00B53BD0">
        <w:t xml:space="preserve"> Facility</w:t>
      </w:r>
      <w:r w:rsidR="00164D1A">
        <w:t>.</w:t>
      </w:r>
      <w:r w:rsidR="004A3A80">
        <w:t xml:space="preserve"> </w:t>
      </w:r>
      <w:r w:rsidR="000278EB">
        <w:t xml:space="preserve"> If Cashless facility is denied, the Customer may submit the papers on completion of treatment</w:t>
      </w:r>
      <w:r w:rsidR="000A0D00">
        <w:t>,</w:t>
      </w:r>
      <w:r w:rsidR="000278EB">
        <w:t xml:space="preserve"> and admissibility of the claim would be subject to the terms of the Policy.</w:t>
      </w:r>
    </w:p>
    <w:p w14:paraId="0C14582C" w14:textId="2AE00BEC" w:rsidR="00FE23A8" w:rsidRDefault="00FE23A8" w:rsidP="00D741E7">
      <w:pPr>
        <w:pStyle w:val="ListParagraph"/>
        <w:numPr>
          <w:ilvl w:val="0"/>
          <w:numId w:val="1"/>
        </w:numPr>
        <w:jc w:val="both"/>
      </w:pPr>
      <w:r>
        <w:t xml:space="preserve">In case of any query please contact </w:t>
      </w:r>
      <w:r w:rsidR="007F4F3D">
        <w:rPr>
          <w:rFonts w:ascii="Arial" w:hAnsi="Arial" w:cs="Arial"/>
          <w:color w:val="000000"/>
          <w:sz w:val="21"/>
          <w:szCs w:val="21"/>
          <w:shd w:val="clear" w:color="auto" w:fill="FFFFFF"/>
        </w:rPr>
        <w:t>1800118485/011-33208485.</w:t>
      </w:r>
    </w:p>
    <w:p w14:paraId="608382F1" w14:textId="77777777" w:rsidR="00FE23A8" w:rsidRPr="001C6DC1" w:rsidRDefault="00FE23A8" w:rsidP="00FE23A8">
      <w:bookmarkStart w:id="0" w:name="_GoBack"/>
      <w:bookmarkEnd w:id="0"/>
    </w:p>
    <w:sectPr w:rsidR="00FE23A8" w:rsidRPr="001C6DC1" w:rsidSect="005C410D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A54E9"/>
    <w:multiLevelType w:val="hybridMultilevel"/>
    <w:tmpl w:val="92A40D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C1"/>
    <w:rsid w:val="000278EB"/>
    <w:rsid w:val="000A0D00"/>
    <w:rsid w:val="001175FF"/>
    <w:rsid w:val="001227D0"/>
    <w:rsid w:val="00164D1A"/>
    <w:rsid w:val="001C6DC1"/>
    <w:rsid w:val="001E7F56"/>
    <w:rsid w:val="0025663D"/>
    <w:rsid w:val="00287A80"/>
    <w:rsid w:val="003A3D6D"/>
    <w:rsid w:val="004A3A80"/>
    <w:rsid w:val="004D46A0"/>
    <w:rsid w:val="00571528"/>
    <w:rsid w:val="005B7592"/>
    <w:rsid w:val="005C410D"/>
    <w:rsid w:val="00652663"/>
    <w:rsid w:val="00725E1D"/>
    <w:rsid w:val="007A63B8"/>
    <w:rsid w:val="007F4F3D"/>
    <w:rsid w:val="008141F8"/>
    <w:rsid w:val="008E0C63"/>
    <w:rsid w:val="00985EEC"/>
    <w:rsid w:val="00A65D61"/>
    <w:rsid w:val="00B10346"/>
    <w:rsid w:val="00B46127"/>
    <w:rsid w:val="00B53BD0"/>
    <w:rsid w:val="00C94B97"/>
    <w:rsid w:val="00D741E7"/>
    <w:rsid w:val="00E94AE4"/>
    <w:rsid w:val="00E9777A"/>
    <w:rsid w:val="00F46B1C"/>
    <w:rsid w:val="00FB6E9C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AA36"/>
  <w15:chartTrackingRefBased/>
  <w15:docId w15:val="{50F300C5-D5EF-4D7B-A46F-1537840A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ta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005BFD90FAD4F8BDBE3768209E545" ma:contentTypeVersion="10" ma:contentTypeDescription="Create a new document." ma:contentTypeScope="" ma:versionID="5f5f61e475baa44ad680180b0a2ccc6f">
  <xsd:schema xmlns:xsd="http://www.w3.org/2001/XMLSchema" xmlns:xs="http://www.w3.org/2001/XMLSchema" xmlns:p="http://schemas.microsoft.com/office/2006/metadata/properties" xmlns:ns3="3b199ebe-8acf-4fa4-99e8-1d58e7d63da6" xmlns:ns4="4abdc32a-a302-4dc9-8e71-60c150afb931" targetNamespace="http://schemas.microsoft.com/office/2006/metadata/properties" ma:root="true" ma:fieldsID="f11c6888f8e5848d35cdf29c923bb6b1" ns3:_="" ns4:_="">
    <xsd:import namespace="3b199ebe-8acf-4fa4-99e8-1d58e7d63da6"/>
    <xsd:import namespace="4abdc32a-a302-4dc9-8e71-60c150afb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99ebe-8acf-4fa4-99e8-1d58e7d63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dc32a-a302-4dc9-8e71-60c150afb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199ebe-8acf-4fa4-99e8-1d58e7d63d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8F90C-DE67-4BE8-AB99-B336E8575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99ebe-8acf-4fa4-99e8-1d58e7d63da6"/>
    <ds:schemaRef ds:uri="4abdc32a-a302-4dc9-8e71-60c150afb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433D9-9520-463E-A035-6BF133BF4BF7}">
  <ds:schemaRefs>
    <ds:schemaRef ds:uri="http://schemas.microsoft.com/office/2006/metadata/properties"/>
    <ds:schemaRef ds:uri="http://schemas.microsoft.com/office/infopath/2007/PartnerControls"/>
    <ds:schemaRef ds:uri="3b199ebe-8acf-4fa4-99e8-1d58e7d63da6"/>
  </ds:schemaRefs>
</ds:datastoreItem>
</file>

<file path=customXml/itemProps3.xml><?xml version="1.0" encoding="utf-8"?>
<ds:datastoreItem xmlns:ds="http://schemas.openxmlformats.org/officeDocument/2006/customXml" ds:itemID="{7B53BE8C-BDA4-496A-8AEF-EC35EF621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Segar Sampath</dc:creator>
  <cp:keywords/>
  <dc:description/>
  <cp:lastModifiedBy>Rajiv Kumar Gupta</cp:lastModifiedBy>
  <cp:revision>3</cp:revision>
  <cp:lastPrinted>2024-01-22T11:15:00Z</cp:lastPrinted>
  <dcterms:created xsi:type="dcterms:W3CDTF">2024-01-23T09:27:00Z</dcterms:created>
  <dcterms:modified xsi:type="dcterms:W3CDTF">2024-01-23T09:29:00Z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0x0101009EF005BFD90FAD4F8BDBE3768209E545</vt:lpwstr>
  </property>
</Properties>
</file>