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6" w:rsidRPr="00CC33A6" w:rsidRDefault="00CC33A6" w:rsidP="006B44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 Unicode MS" w:eastAsia="Arial Unicode MS" w:hAnsi="Arial Unicode MS" w:cs="Arial Unicode MS"/>
          <w:color w:val="000000"/>
          <w:szCs w:val="26"/>
          <w:u w:val="single"/>
        </w:rPr>
      </w:pPr>
      <w:r w:rsidRPr="00CC33A6">
        <w:rPr>
          <w:rStyle w:val="Strong"/>
          <w:rFonts w:ascii="Arial Unicode MS" w:eastAsia="Arial Unicode MS" w:hAnsi="Arial Unicode MS" w:cs="Arial Unicode MS"/>
          <w:color w:val="000000"/>
          <w:szCs w:val="26"/>
          <w:u w:val="single"/>
        </w:rPr>
        <w:t xml:space="preserve">HEALTH </w:t>
      </w:r>
      <w:r w:rsidR="006B4456" w:rsidRPr="00CC33A6">
        <w:rPr>
          <w:rStyle w:val="Strong"/>
          <w:rFonts w:ascii="Arial Unicode MS" w:eastAsia="Arial Unicode MS" w:hAnsi="Arial Unicode MS" w:cs="Arial Unicode MS"/>
          <w:color w:val="000000"/>
          <w:szCs w:val="26"/>
          <w:u w:val="single"/>
        </w:rPr>
        <w:t>ACHIEVEMENTS TO BE</w:t>
      </w:r>
      <w:r w:rsidRPr="00CC33A6">
        <w:rPr>
          <w:rStyle w:val="Strong"/>
          <w:rFonts w:ascii="Arial Unicode MS" w:eastAsia="Arial Unicode MS" w:hAnsi="Arial Unicode MS" w:cs="Arial Unicode MS"/>
          <w:color w:val="000000"/>
          <w:szCs w:val="26"/>
          <w:u w:val="single"/>
        </w:rPr>
        <w:t xml:space="preserve"> HIGHLIGHTED ON OUR COMPANY PORTAL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  <w:color w:val="000000"/>
          <w:sz w:val="26"/>
          <w:szCs w:val="26"/>
        </w:rPr>
      </w:pPr>
    </w:p>
    <w:p w:rsidR="00A10FA4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>
        <w:rPr>
          <w:rStyle w:val="Strong"/>
          <w:rFonts w:ascii="Arial Unicode MS" w:eastAsia="Arial Unicode MS" w:hAnsi="Arial Unicode MS" w:cs="Arial Unicode MS"/>
          <w:b w:val="0"/>
          <w:color w:val="000000"/>
          <w:sz w:val="26"/>
          <w:szCs w:val="26"/>
        </w:rPr>
        <w:t>1.</w:t>
      </w:r>
      <w:r w:rsidR="00A10FA4"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"Proud to serve more than 6.72 Crore beneficiaries under various Health Insurance Products in the year Financial Year 2019-20."</w:t>
      </w:r>
      <w:r w:rsidR="00A10FA4"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2. "With a claim settlement ratio of 87%, we are happy to settle more than 11.49 Lakhs of Health Claims in the Financial Year 2019-20."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 xml:space="preserve">3. "Cashless services provided at more than 33000+ </w:t>
      </w:r>
      <w:r w:rsidR="006B445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Network Hospitals across India.</w:t>
      </w: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4. "Market share of more than 8.50% for Healt</w:t>
      </w:r>
      <w:r w:rsidR="00F73DA3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h Business Booked for the FY 20</w:t>
      </w:r>
      <w:r w:rsidR="00F73DA3">
        <w:rPr>
          <w:rStyle w:val="Strong"/>
          <w:rFonts w:ascii="Arial Unicode MS" w:eastAsia="Arial Unicode MS" w:hAnsi="Arial Unicode MS" w:cs="Arial Unicode MS"/>
          <w:b w:val="0"/>
          <w:color w:val="000000"/>
          <w:sz w:val="26"/>
          <w:szCs w:val="26"/>
        </w:rPr>
        <w:t>1</w:t>
      </w:r>
      <w:bookmarkStart w:id="0" w:name="_GoBack"/>
      <w:bookmarkEnd w:id="0"/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9-20."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5. "Issuance of more than 12 Lakhs Health Policies for straight 5 Years in running."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6. "Variable basket of products available to choose from for every genre as per need."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7. "Boost to Digital Marketing in Tie Ups with Web Aggregators like Policy Bazaar, Mango tree etc. and online Broker Integration like India Insure, Symbo, Invictus, IIFL etc."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6B445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8. "First PSU</w:t>
      </w:r>
      <w:r>
        <w:rPr>
          <w:rStyle w:val="Strong"/>
          <w:rFonts w:ascii="Arial Unicode MS" w:eastAsia="Arial Unicode MS" w:hAnsi="Arial Unicode MS" w:cs="Arial Unicode MS"/>
          <w:b w:val="0"/>
          <w:color w:val="000000"/>
          <w:sz w:val="26"/>
          <w:szCs w:val="26"/>
        </w:rPr>
        <w:t xml:space="preserve"> </w:t>
      </w:r>
      <w:r w:rsidR="00A10FA4"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company with Online Integration facility with MEA (Ministry of External Affairs) for issuance of PBBY Policy 2017."</w:t>
      </w:r>
      <w:r w:rsidR="00A10FA4"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9. "Option to select TPA (Third Party Administrator) of choice under all Retail Health Insurance Policy whether fresh or renewal."</w:t>
      </w:r>
      <w:r w:rsidRPr="00CC33A6">
        <w:rPr>
          <w:rFonts w:ascii="Arial Unicode MS" w:eastAsia="Arial Unicode MS" w:hAnsi="Arial Unicode MS" w:cs="Arial Unicode MS" w:hint="eastAsia"/>
          <w:color w:val="000000"/>
          <w:sz w:val="26"/>
          <w:szCs w:val="26"/>
        </w:rPr>
        <w:t> 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Pr="00CC33A6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10. "Policy issuance/renewal facility provided at all Branches of PNB for all Health Insurance policies."</w:t>
      </w:r>
      <w:r w:rsidRPr="00CC33A6">
        <w:rPr>
          <w:rFonts w:ascii="Arial Unicode MS" w:eastAsia="Arial Unicode MS" w:hAnsi="Arial Unicode MS" w:cs="Arial Unicode MS" w:hint="eastAsia"/>
          <w:bCs/>
          <w:color w:val="000000"/>
          <w:sz w:val="26"/>
          <w:szCs w:val="26"/>
        </w:rPr>
        <w:t> </w:t>
      </w: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 Unicode MS" w:eastAsia="Arial Unicode MS" w:hAnsi="Arial Unicode MS" w:cs="Arial Unicode MS"/>
          <w:b w:val="0"/>
          <w:color w:val="000000"/>
          <w:sz w:val="26"/>
          <w:szCs w:val="26"/>
        </w:rPr>
      </w:pPr>
      <w:r w:rsidRPr="00CC33A6">
        <w:rPr>
          <w:rStyle w:val="Strong"/>
          <w:rFonts w:ascii="Arial Unicode MS" w:eastAsia="Arial Unicode MS" w:hAnsi="Arial Unicode MS" w:cs="Arial Unicode MS" w:hint="eastAsia"/>
          <w:b w:val="0"/>
          <w:color w:val="000000"/>
          <w:sz w:val="26"/>
          <w:szCs w:val="26"/>
        </w:rPr>
        <w:t>11. "Launched four retail health products through POSP (Point of sales person) channel (Happy Family Floater Policy-2015, Mediclaim Policy (Individual), Oriental happy cash and Arogya Sanjeevani Policy)"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Cs/>
          <w:color w:val="212121"/>
          <w:sz w:val="25"/>
          <w:szCs w:val="25"/>
        </w:rPr>
      </w:pPr>
      <w:r w:rsidRPr="00CC33A6">
        <w:rPr>
          <w:rFonts w:ascii="Arial Unicode MS" w:eastAsia="Arial Unicode MS" w:hAnsi="Arial Unicode MS" w:cs="Arial Unicode MS" w:hint="eastAsia"/>
          <w:bCs/>
          <w:color w:val="212121"/>
          <w:sz w:val="25"/>
          <w:szCs w:val="25"/>
        </w:rPr>
        <w:t>12. “For all your catastrophe expenses and enhanced coverage we have Oriental Super Health Top up with two variants and option of Room Rent Waiver Facility”</w:t>
      </w:r>
      <w:r w:rsidR="00CC33A6">
        <w:rPr>
          <w:rFonts w:ascii="Arial Unicode MS" w:eastAsia="Arial Unicode MS" w:hAnsi="Arial Unicode MS" w:cs="Arial Unicode MS"/>
          <w:bCs/>
          <w:color w:val="212121"/>
          <w:sz w:val="25"/>
          <w:szCs w:val="25"/>
        </w:rPr>
        <w:t>.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Cs/>
          <w:color w:val="212121"/>
          <w:sz w:val="25"/>
          <w:szCs w:val="25"/>
        </w:rPr>
      </w:pPr>
      <w:r w:rsidRPr="00CC33A6">
        <w:rPr>
          <w:rFonts w:ascii="Arial Unicode MS" w:eastAsia="Arial Unicode MS" w:hAnsi="Arial Unicode MS" w:cs="Arial Unicode MS" w:hint="eastAsia"/>
          <w:bCs/>
          <w:color w:val="212121"/>
          <w:sz w:val="25"/>
          <w:szCs w:val="25"/>
        </w:rPr>
        <w:t>13. “Get insured under our Nishchint Rahein to cover all your incidental expenses with Convalescence Benefit and 25% more claim payment for women’s.”</w:t>
      </w:r>
    </w:p>
    <w:p w:rsidR="00CC33A6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A10FA4" w:rsidRPr="00CC33A6" w:rsidRDefault="00A10FA4" w:rsidP="00CC33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C33A6">
        <w:rPr>
          <w:rFonts w:ascii="Arial Unicode MS" w:eastAsia="Arial Unicode MS" w:hAnsi="Arial Unicode MS" w:cs="Arial Unicode MS" w:hint="eastAsia"/>
          <w:bCs/>
          <w:color w:val="212121"/>
          <w:sz w:val="25"/>
          <w:szCs w:val="25"/>
        </w:rPr>
        <w:t>14. “Customer friendly in settling more than 4500+ claims per day with direct payments to Network Providers and Beneficiaries.”</w:t>
      </w:r>
    </w:p>
    <w:p w:rsidR="00A10FA4" w:rsidRPr="00CC33A6" w:rsidRDefault="00CC33A6" w:rsidP="00CC33A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</w:rPr>
        <w:t>************</w:t>
      </w:r>
    </w:p>
    <w:sectPr w:rsidR="00A10FA4" w:rsidRPr="00CC33A6" w:rsidSect="00A10FA4">
      <w:pgSz w:w="11906" w:h="16838" w:code="9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10FA4"/>
    <w:rsid w:val="006B4456"/>
    <w:rsid w:val="007C7B37"/>
    <w:rsid w:val="00A10FA4"/>
    <w:rsid w:val="00CC33A6"/>
    <w:rsid w:val="00F73DA3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10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10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2020-06-05T19:21:00Z</dcterms:created>
  <dcterms:modified xsi:type="dcterms:W3CDTF">2020-06-10T05:44:00Z</dcterms:modified>
</cp:coreProperties>
</file>